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21"/>
        <w:tblW w:w="9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6438"/>
        <w:gridCol w:w="1512"/>
      </w:tblGrid>
      <w:tr w:rsidR="008C64AD" w:rsidTr="00250F91">
        <w:trPr>
          <w:trHeight w:val="1927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AD" w:rsidRPr="003706CE" w:rsidRDefault="00C646B2" w:rsidP="00250F91">
            <w:pPr>
              <w:pStyle w:val="Kopfzeile"/>
              <w:tabs>
                <w:tab w:val="clear" w:pos="4536"/>
                <w:tab w:val="clear" w:pos="9072"/>
              </w:tabs>
              <w:rPr>
                <w:color w:val="FFFFFF"/>
              </w:rPr>
            </w:pPr>
            <w:bookmarkStart w:id="0" w:name="Firma"/>
            <w:bookmarkEnd w:id="0"/>
            <w:r w:rsidRPr="003706CE">
              <w:rPr>
                <w:noProof/>
                <w:color w:val="FFFFFF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-931545</wp:posOffset>
                  </wp:positionH>
                  <wp:positionV relativeFrom="paragraph">
                    <wp:posOffset>128270</wp:posOffset>
                  </wp:positionV>
                  <wp:extent cx="817245" cy="7874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47" y="20903"/>
                      <wp:lineTo x="21147" y="0"/>
                      <wp:lineTo x="0" y="0"/>
                    </wp:wrapPolygon>
                  </wp:wrapTight>
                  <wp:docPr id="3" name="Bild 3" descr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</w:tcPr>
          <w:p w:rsidR="008C64AD" w:rsidRDefault="008C64AD" w:rsidP="00250F91">
            <w:pPr>
              <w:pStyle w:val="Kopfzeile"/>
            </w:pPr>
          </w:p>
          <w:p w:rsidR="008C64AD" w:rsidRDefault="00C02089" w:rsidP="00250F91">
            <w:pPr>
              <w:pStyle w:val="Kopfzeile"/>
              <w:tabs>
                <w:tab w:val="left" w:pos="76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  <w:r w:rsidR="008C64AD">
              <w:rPr>
                <w:sz w:val="56"/>
                <w:szCs w:val="56"/>
              </w:rPr>
              <w:t>Landratsamt Freising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8C64AD" w:rsidRDefault="00C646B2" w:rsidP="00250F91">
            <w:pPr>
              <w:pStyle w:val="Formatvorlage2"/>
              <w:rPr>
                <w:sz w:val="24"/>
                <w:szCs w:val="24"/>
              </w:rPr>
            </w:pPr>
            <w: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137160</wp:posOffset>
                  </wp:positionV>
                  <wp:extent cx="549275" cy="7366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0976" y="21228"/>
                      <wp:lineTo x="20976" y="0"/>
                      <wp:lineTo x="0" y="0"/>
                    </wp:wrapPolygon>
                  </wp:wrapTight>
                  <wp:docPr id="2" name="Bild 2" descr="kleines_bayern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eines_bayern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F5017" w:rsidRDefault="005F5017" w:rsidP="005F5017">
      <w:pPr>
        <w:pStyle w:val="Kopfzeile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Handlungsleitfaden </w:t>
      </w:r>
    </w:p>
    <w:p w:rsidR="008C64AD" w:rsidRDefault="005F5017" w:rsidP="005F5017">
      <w:pPr>
        <w:pStyle w:val="Kopfzeile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für den Umgang mit Geflüchteten aus der Ukraine</w:t>
      </w:r>
    </w:p>
    <w:p w:rsidR="005F5017" w:rsidRDefault="005F5017" w:rsidP="005F5017">
      <w:pPr>
        <w:pStyle w:val="Kopfzeile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516AF8" w:rsidRDefault="00516AF8" w:rsidP="005F5017">
      <w:pPr>
        <w:pStyle w:val="Kopfzeile"/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5F5017" w:rsidRPr="00516AF8" w:rsidRDefault="00516AF8" w:rsidP="005F5017">
      <w:pPr>
        <w:pStyle w:val="Kopfzeile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516AF8">
        <w:rPr>
          <w:b/>
          <w:sz w:val="22"/>
          <w:szCs w:val="22"/>
          <w:u w:val="single"/>
        </w:rPr>
        <w:t>Ausländerrechtliche Behandlung</w:t>
      </w:r>
    </w:p>
    <w:p w:rsidR="008C64AD" w:rsidRDefault="008C64AD">
      <w:pPr>
        <w:framePr w:hSpace="142" w:wrap="auto" w:vAnchor="page" w:hAnchor="page" w:x="420" w:y="11082"/>
        <w:rPr>
          <w:szCs w:val="22"/>
        </w:rPr>
      </w:pPr>
      <w:r>
        <w:rPr>
          <w:szCs w:val="22"/>
        </w:rPr>
        <w:t>-</w:t>
      </w:r>
    </w:p>
    <w:p w:rsidR="008C64AD" w:rsidRDefault="008C64AD">
      <w:pPr>
        <w:framePr w:hSpace="142" w:wrap="auto" w:vAnchor="page" w:hAnchor="page" w:x="455" w:y="8166"/>
        <w:rPr>
          <w:szCs w:val="22"/>
        </w:rPr>
      </w:pPr>
      <w:r>
        <w:rPr>
          <w:szCs w:val="22"/>
        </w:rPr>
        <w:t>-</w:t>
      </w:r>
    </w:p>
    <w:p w:rsidR="005F5017" w:rsidRDefault="005F5017" w:rsidP="005F5017">
      <w:pPr>
        <w:numPr>
          <w:ilvl w:val="0"/>
          <w:numId w:val="11"/>
        </w:numPr>
      </w:pPr>
      <w:r>
        <w:t xml:space="preserve">Ukrainische Staatsangehörige </w:t>
      </w:r>
      <w:r w:rsidRPr="005E3AE4">
        <w:rPr>
          <w:u w:val="single"/>
        </w:rPr>
        <w:t>mit</w:t>
      </w:r>
      <w:r>
        <w:t xml:space="preserve"> biometrischem Reisepass können für 90 Tage visumsfrei in die EU einreisen (Verlängerung um weitere 90 Tage möglich)</w:t>
      </w:r>
    </w:p>
    <w:p w:rsidR="005E3AE4" w:rsidRDefault="005E3AE4" w:rsidP="005E3AE4">
      <w:pPr>
        <w:ind w:left="720"/>
      </w:pPr>
    </w:p>
    <w:p w:rsidR="005E3AE4" w:rsidRDefault="005E3AE4" w:rsidP="005F5017">
      <w:pPr>
        <w:numPr>
          <w:ilvl w:val="0"/>
          <w:numId w:val="11"/>
        </w:numPr>
      </w:pPr>
      <w:r>
        <w:t xml:space="preserve">Ukrainische Staatsangehörige </w:t>
      </w:r>
      <w:r w:rsidRPr="005E3AE4">
        <w:rPr>
          <w:u w:val="single"/>
        </w:rPr>
        <w:t>ohne</w:t>
      </w:r>
      <w:r>
        <w:t xml:space="preserve"> biometrischen Reisepass sind nach einer neu erlassenen Verordnung bis </w:t>
      </w:r>
      <w:r w:rsidRPr="00516AF8">
        <w:rPr>
          <w:u w:val="single"/>
        </w:rPr>
        <w:t>23.05.2022</w:t>
      </w:r>
      <w:r>
        <w:t xml:space="preserve"> vom Erfordernis eines Aufenthaltstitels befreit. Bis dahin soll ein Aufenthaltstitel beantragt werden.</w:t>
      </w:r>
    </w:p>
    <w:p w:rsidR="005E3AE4" w:rsidRDefault="005E3AE4" w:rsidP="005E3AE4">
      <w:pPr>
        <w:ind w:left="720"/>
      </w:pPr>
    </w:p>
    <w:p w:rsidR="005E3AE4" w:rsidRDefault="00516AF8" w:rsidP="005F5017">
      <w:pPr>
        <w:numPr>
          <w:ilvl w:val="0"/>
          <w:numId w:val="11"/>
        </w:numPr>
      </w:pPr>
      <w:r>
        <w:t xml:space="preserve">nach § 24 </w:t>
      </w:r>
      <w:proofErr w:type="spellStart"/>
      <w:r>
        <w:t>AufenthG</w:t>
      </w:r>
      <w:proofErr w:type="spellEnd"/>
      <w:r>
        <w:t xml:space="preserve"> können </w:t>
      </w:r>
      <w:r w:rsidR="005E3AE4">
        <w:t xml:space="preserve">folgende Personen </w:t>
      </w:r>
      <w:r>
        <w:t xml:space="preserve">einen </w:t>
      </w:r>
      <w:r w:rsidRPr="00516AF8">
        <w:rPr>
          <w:u w:val="single"/>
        </w:rPr>
        <w:t>Aufenthaltstitel</w:t>
      </w:r>
      <w:r>
        <w:t xml:space="preserve"> bekommen</w:t>
      </w:r>
      <w:r w:rsidR="005E3AE4">
        <w:t>:</w:t>
      </w:r>
    </w:p>
    <w:p w:rsidR="00516AF8" w:rsidRDefault="00516AF8" w:rsidP="00516AF8">
      <w:pPr>
        <w:ind w:left="720"/>
      </w:pPr>
    </w:p>
    <w:p w:rsidR="005E3AE4" w:rsidRDefault="005E3AE4" w:rsidP="005E3AE4">
      <w:pPr>
        <w:numPr>
          <w:ilvl w:val="1"/>
          <w:numId w:val="11"/>
        </w:numPr>
      </w:pPr>
      <w:r>
        <w:t>Ukrainische Staatsangehörige und ihre Familienangehörigen, die sich bis zum 24.02.2022 in der Ukraine aufgehalten haben</w:t>
      </w:r>
    </w:p>
    <w:p w:rsidR="00516AF8" w:rsidRDefault="00516AF8" w:rsidP="00516AF8">
      <w:pPr>
        <w:ind w:left="1440"/>
      </w:pPr>
    </w:p>
    <w:p w:rsidR="005E3AE4" w:rsidRDefault="005E3AE4" w:rsidP="005E3AE4">
      <w:pPr>
        <w:numPr>
          <w:ilvl w:val="1"/>
          <w:numId w:val="11"/>
        </w:numPr>
      </w:pPr>
      <w:r w:rsidRPr="005E3AE4">
        <w:t>Drittstaatsangehörige oder Staatenlose, die in der Ukraine internationalen Schutz genießen, sowie ihre Familienangehörigen, sofern sie s</w:t>
      </w:r>
      <w:r w:rsidR="00516AF8">
        <w:t>ich vor dem oder am 24.02.</w:t>
      </w:r>
      <w:r w:rsidRPr="005E3AE4">
        <w:t>2022 in der Ukraine aufgehalten haben</w:t>
      </w:r>
    </w:p>
    <w:p w:rsidR="00516AF8" w:rsidRDefault="00516AF8" w:rsidP="00516AF8">
      <w:pPr>
        <w:ind w:left="1440"/>
      </w:pPr>
    </w:p>
    <w:p w:rsidR="005E3AE4" w:rsidRDefault="005E3AE4" w:rsidP="005E3AE4">
      <w:pPr>
        <w:numPr>
          <w:ilvl w:val="1"/>
          <w:numId w:val="11"/>
        </w:numPr>
      </w:pPr>
      <w:r w:rsidRPr="005E3AE4">
        <w:t>Drittstaatsangehörigen, die sich vor dem oder am 24.</w:t>
      </w:r>
      <w:r w:rsidR="00516AF8">
        <w:t xml:space="preserve">02.2022 </w:t>
      </w:r>
      <w:r w:rsidRPr="005E3AE4">
        <w:t>mit einem unbefristeten Aufenthaltstitel in der Ukraine aufgehalten haben und nicht sicher in ihr Herkunftsland zurückkehren können</w:t>
      </w:r>
    </w:p>
    <w:p w:rsidR="00516AF8" w:rsidRDefault="00516AF8" w:rsidP="00516AF8">
      <w:pPr>
        <w:ind w:left="1440"/>
      </w:pPr>
    </w:p>
    <w:p w:rsidR="00516AF8" w:rsidRDefault="00516AF8" w:rsidP="005E3AE4">
      <w:pPr>
        <w:numPr>
          <w:ilvl w:val="1"/>
          <w:numId w:val="11"/>
        </w:numPr>
      </w:pPr>
      <w:r>
        <w:t>Für andere als die genannten Personengruppen ist die Erteilung der Aufenthaltserlaubnis abhängig von einer Einzelfallprüfung; die Einbeziehung weiterer Gruppen wird gerade vom Bundesministerium des Innern geprüft.</w:t>
      </w:r>
    </w:p>
    <w:p w:rsidR="00516AF8" w:rsidRDefault="00516AF8" w:rsidP="00516AF8">
      <w:pPr>
        <w:ind w:left="1440"/>
      </w:pPr>
    </w:p>
    <w:p w:rsidR="00516AF8" w:rsidRDefault="00516AF8" w:rsidP="00516AF8">
      <w:pPr>
        <w:numPr>
          <w:ilvl w:val="0"/>
          <w:numId w:val="11"/>
        </w:numPr>
      </w:pPr>
      <w:r>
        <w:t xml:space="preserve">Die Aufenthaltserlaubnis wird für </w:t>
      </w:r>
      <w:r w:rsidRPr="00516AF8">
        <w:rPr>
          <w:u w:val="single"/>
        </w:rPr>
        <w:t xml:space="preserve">1 Jahr </w:t>
      </w:r>
      <w:r>
        <w:t>erteilt (eine Erwerbstätigkeit ist i.d.R. erlaubt)</w:t>
      </w:r>
    </w:p>
    <w:p w:rsidR="00516AF8" w:rsidRDefault="00516AF8" w:rsidP="00516AF8">
      <w:pPr>
        <w:ind w:left="720"/>
      </w:pPr>
    </w:p>
    <w:p w:rsidR="00516AF8" w:rsidRDefault="00516AF8" w:rsidP="00516AF8">
      <w:pPr>
        <w:numPr>
          <w:ilvl w:val="0"/>
          <w:numId w:val="11"/>
        </w:numPr>
      </w:pPr>
      <w:r>
        <w:t xml:space="preserve">Bis zur Erteilung der Aufenthaltserlaubnis wird eine </w:t>
      </w:r>
      <w:r w:rsidRPr="00516AF8">
        <w:rPr>
          <w:u w:val="single"/>
        </w:rPr>
        <w:t>Fiktionsbescheinigung für 6 Monate</w:t>
      </w:r>
      <w:r>
        <w:t xml:space="preserve"> erteilt (Erwerbstätigkeit ist i.d.R. erlaubt)</w:t>
      </w:r>
    </w:p>
    <w:p w:rsidR="009F4033" w:rsidRDefault="009F4033" w:rsidP="009F4033">
      <w:pPr>
        <w:ind w:left="720"/>
      </w:pPr>
    </w:p>
    <w:p w:rsidR="009F4033" w:rsidRDefault="009F4033" w:rsidP="009F4033">
      <w:pPr>
        <w:numPr>
          <w:ilvl w:val="0"/>
          <w:numId w:val="11"/>
        </w:numPr>
      </w:pPr>
      <w:r>
        <w:t>Stellung eines Asylantrags ist</w:t>
      </w:r>
      <w:r w:rsidR="00C646B2">
        <w:t xml:space="preserve"> für die genannten Personen nicht notwendig, aber</w:t>
      </w:r>
      <w:r>
        <w:t xml:space="preserve"> weiterhin möglich; o</w:t>
      </w:r>
      <w:r w:rsidRPr="009F4033">
        <w:t xml:space="preserve">b </w:t>
      </w:r>
      <w:r>
        <w:t>dies</w:t>
      </w:r>
      <w:r w:rsidRPr="009F4033">
        <w:t xml:space="preserve"> sinnvoller ist als die Inanspruchnahme eines Aufen</w:t>
      </w:r>
      <w:r>
        <w:t xml:space="preserve">thaltstitels nach § 24 </w:t>
      </w:r>
      <w:proofErr w:type="spellStart"/>
      <w:r>
        <w:t>AufenthG</w:t>
      </w:r>
      <w:proofErr w:type="spellEnd"/>
      <w:r w:rsidRPr="009F4033">
        <w:t xml:space="preserve"> muss </w:t>
      </w:r>
      <w:r>
        <w:t xml:space="preserve">aber </w:t>
      </w:r>
      <w:r w:rsidRPr="009F4033">
        <w:t>in jedem Einzelfall entschieden werden</w:t>
      </w:r>
      <w:r>
        <w:t>, eine pauschale Empfehlung kann daher nicht ausgesprochen werden</w:t>
      </w:r>
    </w:p>
    <w:p w:rsidR="00516AF8" w:rsidRDefault="00516AF8" w:rsidP="00516AF8">
      <w:pPr>
        <w:ind w:left="720"/>
      </w:pPr>
    </w:p>
    <w:p w:rsidR="00516AF8" w:rsidRDefault="00516AF8" w:rsidP="00516AF8"/>
    <w:p w:rsidR="005E3AE4" w:rsidRPr="00516AF8" w:rsidRDefault="00516AF8" w:rsidP="00516AF8">
      <w:pPr>
        <w:rPr>
          <w:b/>
          <w:u w:val="single"/>
        </w:rPr>
      </w:pPr>
      <w:r w:rsidRPr="00516AF8">
        <w:rPr>
          <w:b/>
          <w:u w:val="single"/>
        </w:rPr>
        <w:t>Registrierung der Geflüchteten</w:t>
      </w:r>
    </w:p>
    <w:p w:rsidR="005F5017" w:rsidRDefault="005F5017" w:rsidP="005F5017">
      <w:pPr>
        <w:numPr>
          <w:ilvl w:val="0"/>
          <w:numId w:val="11"/>
        </w:numPr>
      </w:pPr>
      <w:r w:rsidRPr="00987B9D">
        <w:rPr>
          <w:u w:val="single"/>
        </w:rPr>
        <w:t>alle</w:t>
      </w:r>
      <w:r>
        <w:t xml:space="preserve"> Personen, die wegen des Krieges in der Ukraine Schutz suchen, sollen das beiliegende </w:t>
      </w:r>
      <w:r w:rsidRPr="005F5017">
        <w:rPr>
          <w:u w:val="single"/>
        </w:rPr>
        <w:t>Formular</w:t>
      </w:r>
      <w:r>
        <w:t xml:space="preserve"> ausfüllen</w:t>
      </w:r>
    </w:p>
    <w:p w:rsidR="008C64AD" w:rsidRDefault="005F5017" w:rsidP="005F5017">
      <w:pPr>
        <w:numPr>
          <w:ilvl w:val="1"/>
          <w:numId w:val="11"/>
        </w:numPr>
      </w:pPr>
      <w:r>
        <w:t>senden Sie das Formular bitte per E-Mail an</w:t>
      </w:r>
      <w:r>
        <w:br/>
      </w:r>
      <w:hyperlink r:id="rId9" w:history="1">
        <w:r w:rsidRPr="00E5420F">
          <w:rPr>
            <w:rStyle w:val="Hyperlink"/>
          </w:rPr>
          <w:t>Ukraine.regierung-oberbayern@reg-ob.bayern.de</w:t>
        </w:r>
      </w:hyperlink>
      <w:r>
        <w:t xml:space="preserve">  </w:t>
      </w:r>
    </w:p>
    <w:p w:rsidR="005F5017" w:rsidRDefault="005F5017" w:rsidP="005F5017">
      <w:pPr>
        <w:numPr>
          <w:ilvl w:val="1"/>
          <w:numId w:val="11"/>
        </w:numPr>
      </w:pPr>
      <w:r>
        <w:t xml:space="preserve">setzen Sie bitte das Landratsamt in CC: </w:t>
      </w:r>
      <w:hyperlink r:id="rId10" w:history="1">
        <w:r w:rsidRPr="00E5420F">
          <w:rPr>
            <w:rStyle w:val="Hyperlink"/>
          </w:rPr>
          <w:t>anfragen.ukraine@kreis-fs.de</w:t>
        </w:r>
      </w:hyperlink>
      <w:r>
        <w:t xml:space="preserve"> </w:t>
      </w:r>
    </w:p>
    <w:p w:rsidR="005F5017" w:rsidRDefault="005F5017" w:rsidP="005F5017">
      <w:pPr>
        <w:ind w:left="1440"/>
      </w:pPr>
    </w:p>
    <w:p w:rsidR="005F5017" w:rsidRPr="00987B9D" w:rsidRDefault="00516AF8" w:rsidP="00987B9D">
      <w:pPr>
        <w:rPr>
          <w:b/>
        </w:rPr>
      </w:pPr>
      <w:r w:rsidRPr="00987B9D">
        <w:rPr>
          <w:b/>
        </w:rPr>
        <w:t xml:space="preserve">Personen, die </w:t>
      </w:r>
      <w:r w:rsidR="00C646B2">
        <w:rPr>
          <w:b/>
        </w:rPr>
        <w:t xml:space="preserve">zunächst </w:t>
      </w:r>
      <w:r w:rsidRPr="00987B9D">
        <w:rPr>
          <w:b/>
        </w:rPr>
        <w:t xml:space="preserve">in einer </w:t>
      </w:r>
      <w:r w:rsidR="009F4033">
        <w:rPr>
          <w:b/>
          <w:u w:val="single"/>
        </w:rPr>
        <w:t>Turnhalle</w:t>
      </w:r>
      <w:r w:rsidRPr="00987B9D">
        <w:rPr>
          <w:b/>
        </w:rPr>
        <w:t xml:space="preserve"> unterkommen</w:t>
      </w:r>
    </w:p>
    <w:p w:rsidR="00516AF8" w:rsidRDefault="00516AF8" w:rsidP="00987B9D">
      <w:pPr>
        <w:numPr>
          <w:ilvl w:val="0"/>
          <w:numId w:val="11"/>
        </w:numPr>
      </w:pPr>
      <w:r>
        <w:t>Durchführung eines Corona-</w:t>
      </w:r>
      <w:r w:rsidR="00A718C7">
        <w:t>Tests vor Ort</w:t>
      </w:r>
    </w:p>
    <w:p w:rsidR="00A718C7" w:rsidRDefault="00A718C7" w:rsidP="00987B9D">
      <w:pPr>
        <w:numPr>
          <w:ilvl w:val="0"/>
          <w:numId w:val="11"/>
        </w:numPr>
      </w:pPr>
      <w:r>
        <w:t>Durchführung der Tuberkulose Untersuchung</w:t>
      </w:r>
      <w:r w:rsidR="00782889">
        <w:t xml:space="preserve"> in den folgenden Tagen/Wochen</w:t>
      </w:r>
    </w:p>
    <w:p w:rsidR="00A718C7" w:rsidRDefault="00A718C7" w:rsidP="00987B9D">
      <w:pPr>
        <w:numPr>
          <w:ilvl w:val="1"/>
          <w:numId w:val="11"/>
        </w:numPr>
      </w:pPr>
      <w:r>
        <w:t>0-10 Jahre: lediglich klinische Untersuchung</w:t>
      </w:r>
    </w:p>
    <w:p w:rsidR="00A718C7" w:rsidRDefault="00A718C7" w:rsidP="00987B9D">
      <w:pPr>
        <w:numPr>
          <w:ilvl w:val="1"/>
          <w:numId w:val="11"/>
        </w:numPr>
      </w:pPr>
      <w:r>
        <w:t>10-15 Jahre: Blutabnahme</w:t>
      </w:r>
    </w:p>
    <w:p w:rsidR="00782889" w:rsidRDefault="00782889" w:rsidP="00782889">
      <w:pPr>
        <w:ind w:left="1440"/>
      </w:pPr>
    </w:p>
    <w:p w:rsidR="00A718C7" w:rsidRDefault="00A718C7" w:rsidP="00987B9D">
      <w:pPr>
        <w:numPr>
          <w:ilvl w:val="1"/>
          <w:numId w:val="11"/>
        </w:numPr>
      </w:pPr>
      <w:r>
        <w:t>ab 15 Jahren: Röntgenuntersuchung</w:t>
      </w:r>
    </w:p>
    <w:p w:rsidR="00A718C7" w:rsidRDefault="00A718C7" w:rsidP="00987B9D">
      <w:pPr>
        <w:ind w:left="1080"/>
      </w:pPr>
    </w:p>
    <w:p w:rsidR="00A718C7" w:rsidRDefault="00A718C7" w:rsidP="00987B9D">
      <w:pPr>
        <w:numPr>
          <w:ilvl w:val="0"/>
          <w:numId w:val="11"/>
        </w:numPr>
      </w:pPr>
      <w:r>
        <w:t>Terminvereinbarung mit der Sozialverwaltung im Landratsamt</w:t>
      </w:r>
      <w:r w:rsidR="00782889">
        <w:t xml:space="preserve"> direkt bei Ankunft</w:t>
      </w:r>
      <w:r w:rsidR="009D35D7">
        <w:t xml:space="preserve"> in der dezentralen ersten Ankunftsstelle (</w:t>
      </w:r>
      <w:proofErr w:type="spellStart"/>
      <w:r w:rsidR="009D35D7">
        <w:t>dEA</w:t>
      </w:r>
      <w:proofErr w:type="spellEnd"/>
      <w:r w:rsidR="009D35D7">
        <w:t>)</w:t>
      </w:r>
    </w:p>
    <w:p w:rsidR="00987B9D" w:rsidRDefault="00987B9D" w:rsidP="00C646B2">
      <w:pPr>
        <w:numPr>
          <w:ilvl w:val="1"/>
          <w:numId w:val="11"/>
        </w:numPr>
      </w:pPr>
      <w:r>
        <w:t>gemeinsames Ausfüllen der Antragsunterlagen</w:t>
      </w:r>
      <w:r w:rsidR="00C646B2">
        <w:t xml:space="preserve"> &amp; </w:t>
      </w:r>
      <w:r>
        <w:t xml:space="preserve">Prüfung der </w:t>
      </w:r>
      <w:r w:rsidR="009F4033">
        <w:t>Anspruchsvoraussetzungen</w:t>
      </w:r>
    </w:p>
    <w:p w:rsidR="00C646B2" w:rsidRDefault="00C646B2" w:rsidP="00C646B2">
      <w:pPr>
        <w:ind w:left="1440"/>
      </w:pPr>
    </w:p>
    <w:p w:rsidR="00987B9D" w:rsidRDefault="00987B9D" w:rsidP="00987B9D">
      <w:pPr>
        <w:numPr>
          <w:ilvl w:val="1"/>
          <w:numId w:val="11"/>
        </w:numPr>
      </w:pPr>
      <w:r>
        <w:t>Auszahlung der Leistungen nach dem AsylbLG</w:t>
      </w:r>
    </w:p>
    <w:p w:rsidR="00987B9D" w:rsidRDefault="00987B9D" w:rsidP="00987B9D">
      <w:pPr>
        <w:ind w:left="2160"/>
      </w:pPr>
    </w:p>
    <w:p w:rsidR="00987B9D" w:rsidRDefault="00987B9D" w:rsidP="00987B9D">
      <w:pPr>
        <w:numPr>
          <w:ilvl w:val="1"/>
          <w:numId w:val="11"/>
        </w:numPr>
      </w:pPr>
      <w:r>
        <w:t xml:space="preserve">Ausgabe Krankenbehandlungsschein </w:t>
      </w:r>
    </w:p>
    <w:p w:rsidR="00C646B2" w:rsidRDefault="00C646B2" w:rsidP="00C646B2">
      <w:pPr>
        <w:ind w:left="1440"/>
      </w:pPr>
    </w:p>
    <w:p w:rsidR="00C646B2" w:rsidRDefault="00C646B2" w:rsidP="00C646B2">
      <w:pPr>
        <w:numPr>
          <w:ilvl w:val="0"/>
          <w:numId w:val="11"/>
        </w:numPr>
      </w:pPr>
      <w:r>
        <w:t>dauerhafte Unterbringung in der Turnhalle ist aktuell nicht geplant, die Personen sollen in der Folgezeit auf Gemeinschaftsunterkünfte oder von privater Seite angebotene Wohnungen umverteilt werden</w:t>
      </w:r>
      <w:r w:rsidR="009D35D7">
        <w:t xml:space="preserve"> (dies ist allerdings abhängig von der weiteren Entwicklung)</w:t>
      </w:r>
    </w:p>
    <w:p w:rsidR="00987B9D" w:rsidRDefault="00987B9D" w:rsidP="00987B9D"/>
    <w:p w:rsidR="00987B9D" w:rsidRDefault="00987B9D" w:rsidP="00987B9D">
      <w:pPr>
        <w:rPr>
          <w:b/>
        </w:rPr>
      </w:pPr>
    </w:p>
    <w:p w:rsidR="00987B9D" w:rsidRPr="00987B9D" w:rsidRDefault="00987B9D" w:rsidP="00987B9D">
      <w:pPr>
        <w:rPr>
          <w:b/>
        </w:rPr>
      </w:pPr>
      <w:r w:rsidRPr="00987B9D">
        <w:rPr>
          <w:b/>
        </w:rPr>
        <w:t>Personen, die</w:t>
      </w:r>
      <w:r w:rsidR="00C646B2">
        <w:rPr>
          <w:b/>
        </w:rPr>
        <w:t xml:space="preserve"> zunächst</w:t>
      </w:r>
      <w:r w:rsidRPr="00987B9D">
        <w:rPr>
          <w:b/>
        </w:rPr>
        <w:t xml:space="preserve"> </w:t>
      </w:r>
      <w:r w:rsidRPr="00987B9D">
        <w:rPr>
          <w:b/>
          <w:u w:val="single"/>
        </w:rPr>
        <w:t>privat</w:t>
      </w:r>
      <w:r w:rsidRPr="00987B9D">
        <w:rPr>
          <w:b/>
        </w:rPr>
        <w:t xml:space="preserve"> unterkommen</w:t>
      </w:r>
    </w:p>
    <w:p w:rsidR="00C646B2" w:rsidRDefault="00C646B2" w:rsidP="00987B9D">
      <w:pPr>
        <w:numPr>
          <w:ilvl w:val="0"/>
          <w:numId w:val="12"/>
        </w:numPr>
      </w:pPr>
      <w:r>
        <w:t xml:space="preserve">private Eigentümer von Wohnraum werden gebeten, </w:t>
      </w:r>
      <w:r w:rsidR="009D35D7">
        <w:t xml:space="preserve">im Idealfall </w:t>
      </w:r>
      <w:r>
        <w:t xml:space="preserve">nur solche Wohnungen zur Unterbringung von Geflüchteten anzubieten, die länger als 6 Monate zur Verfügung stehen </w:t>
      </w:r>
      <w:r w:rsidR="009D35D7">
        <w:t>(jedenfalls sollte der Zeitraum nicht zu kurz sein)</w:t>
      </w:r>
    </w:p>
    <w:p w:rsidR="00C646B2" w:rsidRDefault="00C646B2" w:rsidP="00C646B2">
      <w:pPr>
        <w:ind w:left="720"/>
      </w:pPr>
    </w:p>
    <w:p w:rsidR="00C646B2" w:rsidRDefault="00C646B2" w:rsidP="00C646B2">
      <w:pPr>
        <w:numPr>
          <w:ilvl w:val="0"/>
          <w:numId w:val="12"/>
        </w:numPr>
      </w:pPr>
      <w:r>
        <w:t xml:space="preserve">dennoch </w:t>
      </w:r>
      <w:r w:rsidR="00987B9D">
        <w:t>Terminvereinbarung mit der S</w:t>
      </w:r>
      <w:r w:rsidR="009F4033">
        <w:t>ozialverwaltung</w:t>
      </w:r>
      <w:r>
        <w:t xml:space="preserve"> notwendig</w:t>
      </w:r>
      <w:r w:rsidR="009D35D7">
        <w:t xml:space="preserve"> (s.o.)</w:t>
      </w:r>
    </w:p>
    <w:p w:rsidR="00C646B2" w:rsidRDefault="00C646B2" w:rsidP="00C646B2">
      <w:pPr>
        <w:ind w:left="1440"/>
      </w:pPr>
    </w:p>
    <w:p w:rsidR="009F4033" w:rsidRDefault="009F4033" w:rsidP="009F4033">
      <w:pPr>
        <w:numPr>
          <w:ilvl w:val="0"/>
          <w:numId w:val="12"/>
        </w:numPr>
      </w:pPr>
      <w:r>
        <w:t>Ersatz für angemess</w:t>
      </w:r>
      <w:r w:rsidR="009D35D7">
        <w:t>ene Miete: derzeit in Abstimmung bei der ROB</w:t>
      </w:r>
    </w:p>
    <w:p w:rsidR="009F4033" w:rsidRDefault="009F4033" w:rsidP="009D35D7">
      <w:bookmarkStart w:id="1" w:name="_GoBack"/>
      <w:bookmarkEnd w:id="1"/>
    </w:p>
    <w:sectPr w:rsidR="009F4033" w:rsidSect="00250F91">
      <w:headerReference w:type="even" r:id="rId11"/>
      <w:headerReference w:type="default" r:id="rId12"/>
      <w:footerReference w:type="even" r:id="rId13"/>
      <w:pgSz w:w="11906" w:h="16838" w:code="9"/>
      <w:pgMar w:top="454" w:right="1247" w:bottom="1021" w:left="1247" w:header="1134" w:footer="567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17" w:rsidRDefault="005F5017">
      <w:r>
        <w:separator/>
      </w:r>
    </w:p>
  </w:endnote>
  <w:endnote w:type="continuationSeparator" w:id="0">
    <w:p w:rsidR="005F5017" w:rsidRDefault="005F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8F" w:rsidRDefault="00ED3B8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D3B8F" w:rsidRDefault="00ED3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17" w:rsidRDefault="005F5017">
      <w:r>
        <w:separator/>
      </w:r>
    </w:p>
  </w:footnote>
  <w:footnote w:type="continuationSeparator" w:id="0">
    <w:p w:rsidR="005F5017" w:rsidRDefault="005F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8F" w:rsidRDefault="00ED3B8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D3B8F" w:rsidRDefault="00ED3B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8F" w:rsidRDefault="00ED3B8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D35D7">
      <w:rPr>
        <w:rStyle w:val="Seitenzahl"/>
        <w:noProof/>
      </w:rPr>
      <w:t>- 2 -</w:t>
    </w:r>
    <w:r>
      <w:rPr>
        <w:rStyle w:val="Seitenzahl"/>
      </w:rPr>
      <w:fldChar w:fldCharType="end"/>
    </w:r>
  </w:p>
  <w:p w:rsidR="00ED3B8F" w:rsidRDefault="00ED3B8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242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B01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5A7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5AC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B60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DA2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41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053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E1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0C8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3129EA"/>
    <w:multiLevelType w:val="hybridMultilevel"/>
    <w:tmpl w:val="1EB2E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55FC3"/>
    <w:multiLevelType w:val="hybridMultilevel"/>
    <w:tmpl w:val="02FCF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52CD9"/>
    <w:multiLevelType w:val="hybridMultilevel"/>
    <w:tmpl w:val="59347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02E1D"/>
    <w:multiLevelType w:val="hybridMultilevel"/>
    <w:tmpl w:val="9B603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60F63"/>
    <w:multiLevelType w:val="hybridMultilevel"/>
    <w:tmpl w:val="DB62F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17"/>
    <w:rsid w:val="000270A3"/>
    <w:rsid w:val="00064257"/>
    <w:rsid w:val="000B594E"/>
    <w:rsid w:val="000C56BD"/>
    <w:rsid w:val="000E24D3"/>
    <w:rsid w:val="000E4714"/>
    <w:rsid w:val="00100617"/>
    <w:rsid w:val="001050DF"/>
    <w:rsid w:val="0010745C"/>
    <w:rsid w:val="001578D9"/>
    <w:rsid w:val="001C1F0D"/>
    <w:rsid w:val="00250F91"/>
    <w:rsid w:val="00271DBC"/>
    <w:rsid w:val="00296C56"/>
    <w:rsid w:val="002B4FE0"/>
    <w:rsid w:val="002C6E5B"/>
    <w:rsid w:val="002F7117"/>
    <w:rsid w:val="00306C6F"/>
    <w:rsid w:val="00311540"/>
    <w:rsid w:val="00313E01"/>
    <w:rsid w:val="0033178C"/>
    <w:rsid w:val="003358AF"/>
    <w:rsid w:val="0034436F"/>
    <w:rsid w:val="003706CE"/>
    <w:rsid w:val="00383A41"/>
    <w:rsid w:val="0039099B"/>
    <w:rsid w:val="003A1EC2"/>
    <w:rsid w:val="003C21D7"/>
    <w:rsid w:val="003C47FE"/>
    <w:rsid w:val="004237C6"/>
    <w:rsid w:val="00472886"/>
    <w:rsid w:val="004B2A21"/>
    <w:rsid w:val="004C761A"/>
    <w:rsid w:val="004D725E"/>
    <w:rsid w:val="0051609A"/>
    <w:rsid w:val="00516AF8"/>
    <w:rsid w:val="00526077"/>
    <w:rsid w:val="00527DCE"/>
    <w:rsid w:val="00530A16"/>
    <w:rsid w:val="00546687"/>
    <w:rsid w:val="00551C29"/>
    <w:rsid w:val="00593EBE"/>
    <w:rsid w:val="005A51FD"/>
    <w:rsid w:val="005B1289"/>
    <w:rsid w:val="005C64B6"/>
    <w:rsid w:val="005D639E"/>
    <w:rsid w:val="005E3AE4"/>
    <w:rsid w:val="005F5017"/>
    <w:rsid w:val="005F7793"/>
    <w:rsid w:val="006056BC"/>
    <w:rsid w:val="0061727C"/>
    <w:rsid w:val="00620916"/>
    <w:rsid w:val="00634490"/>
    <w:rsid w:val="00644B48"/>
    <w:rsid w:val="006831BC"/>
    <w:rsid w:val="0069280B"/>
    <w:rsid w:val="006B41DC"/>
    <w:rsid w:val="006E0595"/>
    <w:rsid w:val="00737D0A"/>
    <w:rsid w:val="007605C2"/>
    <w:rsid w:val="0076330F"/>
    <w:rsid w:val="00765762"/>
    <w:rsid w:val="00782889"/>
    <w:rsid w:val="007B1B9B"/>
    <w:rsid w:val="007C7F58"/>
    <w:rsid w:val="007E1463"/>
    <w:rsid w:val="00803827"/>
    <w:rsid w:val="00896FAF"/>
    <w:rsid w:val="008C64AD"/>
    <w:rsid w:val="008E6518"/>
    <w:rsid w:val="00910B95"/>
    <w:rsid w:val="0091545F"/>
    <w:rsid w:val="00946374"/>
    <w:rsid w:val="00967408"/>
    <w:rsid w:val="0097035A"/>
    <w:rsid w:val="00970A5F"/>
    <w:rsid w:val="0098648E"/>
    <w:rsid w:val="00987B9D"/>
    <w:rsid w:val="00991F39"/>
    <w:rsid w:val="00994601"/>
    <w:rsid w:val="009D35D7"/>
    <w:rsid w:val="009E7688"/>
    <w:rsid w:val="009F4033"/>
    <w:rsid w:val="00A60DD4"/>
    <w:rsid w:val="00A718C7"/>
    <w:rsid w:val="00AE52D5"/>
    <w:rsid w:val="00B05313"/>
    <w:rsid w:val="00B06D5F"/>
    <w:rsid w:val="00B3791B"/>
    <w:rsid w:val="00B94963"/>
    <w:rsid w:val="00BA5871"/>
    <w:rsid w:val="00BC5AC9"/>
    <w:rsid w:val="00BF6DF0"/>
    <w:rsid w:val="00C02089"/>
    <w:rsid w:val="00C45B9D"/>
    <w:rsid w:val="00C46AAB"/>
    <w:rsid w:val="00C646B2"/>
    <w:rsid w:val="00C9042F"/>
    <w:rsid w:val="00CA3F61"/>
    <w:rsid w:val="00CB01C1"/>
    <w:rsid w:val="00CC6EB0"/>
    <w:rsid w:val="00CD6E5E"/>
    <w:rsid w:val="00CE6742"/>
    <w:rsid w:val="00D122D4"/>
    <w:rsid w:val="00D60164"/>
    <w:rsid w:val="00DA4F80"/>
    <w:rsid w:val="00E13D52"/>
    <w:rsid w:val="00E2668B"/>
    <w:rsid w:val="00E6349D"/>
    <w:rsid w:val="00EA0CA6"/>
    <w:rsid w:val="00EB562D"/>
    <w:rsid w:val="00EB7BA7"/>
    <w:rsid w:val="00ED3B8F"/>
    <w:rsid w:val="00ED63BA"/>
    <w:rsid w:val="00EE01B8"/>
    <w:rsid w:val="00EF0AC6"/>
    <w:rsid w:val="00F82B7D"/>
    <w:rsid w:val="00FD461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414F6"/>
  <w15:chartTrackingRefBased/>
  <w15:docId w15:val="{11C5F3BC-6F0D-457B-ACF7-49D452B4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48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napToGrid w:val="0"/>
      <w:sz w:val="24"/>
    </w:rPr>
  </w:style>
  <w:style w:type="paragraph" w:customStyle="1" w:styleId="Betreff">
    <w:name w:val="Betreff"/>
    <w:basedOn w:val="Standard"/>
    <w:pPr>
      <w:spacing w:before="720" w:line="240" w:lineRule="exact"/>
    </w:pPr>
    <w:rPr>
      <w:b/>
    </w:rPr>
  </w:style>
  <w:style w:type="paragraph" w:customStyle="1" w:styleId="Betreff2Zeile">
    <w:name w:val="Betreff 2. Zeile"/>
    <w:basedOn w:val="Betreff"/>
    <w:next w:val="Standard"/>
    <w:pPr>
      <w:spacing w:before="0"/>
    </w:pPr>
  </w:style>
  <w:style w:type="paragraph" w:customStyle="1" w:styleId="Blockabsatz1">
    <w:name w:val="Blockabsatz 1"/>
    <w:basedOn w:val="Standard"/>
    <w:pPr>
      <w:spacing w:before="240"/>
      <w:jc w:val="both"/>
    </w:pPr>
  </w:style>
  <w:style w:type="paragraph" w:customStyle="1" w:styleId="Blockabsatz2">
    <w:name w:val="Blockabsatz 2"/>
    <w:basedOn w:val="Standard"/>
    <w:next w:val="Blockabsatz1"/>
    <w:pPr>
      <w:spacing w:before="480"/>
      <w:jc w:val="both"/>
    </w:pPr>
  </w:style>
  <w:style w:type="paragraph" w:customStyle="1" w:styleId="Gliederung1">
    <w:name w:val="Gliederung 1"/>
    <w:basedOn w:val="Standard"/>
    <w:pPr>
      <w:spacing w:before="240"/>
      <w:ind w:left="352" w:hanging="352"/>
      <w:jc w:val="both"/>
    </w:pPr>
  </w:style>
  <w:style w:type="paragraph" w:styleId="Standardeinzug">
    <w:name w:val="Normal Indent"/>
    <w:basedOn w:val="Standard"/>
    <w:pPr>
      <w:ind w:left="351"/>
    </w:pPr>
  </w:style>
  <w:style w:type="paragraph" w:customStyle="1" w:styleId="Gliederung1Fortsetzung">
    <w:name w:val="Gliederung 1 Fortsetzung"/>
    <w:basedOn w:val="Standardeinzug"/>
    <w:pPr>
      <w:spacing w:before="240"/>
      <w:ind w:left="352"/>
      <w:jc w:val="both"/>
    </w:pPr>
  </w:style>
  <w:style w:type="paragraph" w:customStyle="1" w:styleId="Gliederung2">
    <w:name w:val="Gliederung 2"/>
    <w:basedOn w:val="Standard"/>
    <w:pPr>
      <w:spacing w:before="240"/>
      <w:ind w:left="1061" w:hanging="352"/>
    </w:pPr>
  </w:style>
  <w:style w:type="paragraph" w:customStyle="1" w:styleId="Gliederung2Fortsetzung">
    <w:name w:val="Gliederung 2 Fortsetzung"/>
    <w:basedOn w:val="Gliederung2"/>
    <w:pPr>
      <w:ind w:left="709" w:firstLine="0"/>
    </w:pPr>
  </w:style>
  <w:style w:type="paragraph" w:customStyle="1" w:styleId="Standardblock">
    <w:name w:val="Standardblock"/>
    <w:basedOn w:val="Standard"/>
    <w:pPr>
      <w:jc w:val="both"/>
    </w:pPr>
  </w:style>
  <w:style w:type="paragraph" w:customStyle="1" w:styleId="berschrift">
    <w:name w:val="Überschrift §"/>
    <w:basedOn w:val="Standard"/>
    <w:next w:val="Blockabsatz2"/>
    <w:autoRedefine/>
    <w:pPr>
      <w:spacing w:before="720"/>
      <w:jc w:val="center"/>
    </w:pPr>
    <w:rPr>
      <w:b/>
    </w:rPr>
  </w:style>
  <w:style w:type="paragraph" w:styleId="Unterschrift">
    <w:name w:val="Signature"/>
    <w:basedOn w:val="Standard"/>
    <w:next w:val="Standard"/>
    <w:pPr>
      <w:spacing w:before="960"/>
    </w:pPr>
  </w:style>
  <w:style w:type="paragraph" w:customStyle="1" w:styleId="Formatvorlage2">
    <w:name w:val="Formatvorlage2"/>
    <w:basedOn w:val="Standard"/>
    <w:pPr>
      <w:widowControl w:val="0"/>
      <w:autoSpaceDE w:val="0"/>
      <w:autoSpaceDN w:val="0"/>
      <w:jc w:val="center"/>
    </w:pPr>
    <w:rPr>
      <w:rFonts w:cs="Arial"/>
      <w:noProof/>
      <w:sz w:val="40"/>
      <w:szCs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02089"/>
    <w:rPr>
      <w:rFonts w:ascii="Tahoma" w:hAnsi="Tahoma" w:cs="Tahoma"/>
      <w:sz w:val="16"/>
      <w:szCs w:val="16"/>
    </w:rPr>
  </w:style>
  <w:style w:type="character" w:styleId="Hyperlink">
    <w:name w:val="Hyperlink"/>
    <w:rsid w:val="00FD4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fragen.ukraine@kreis-f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kraine.regierung-oberbayern@reg-ob.bayern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4\MSProgs\BriefKo\Briefkopf%20LRA-FS%2020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LRA-FS 2011.dot</Template>
  <TotalTime>0</TotalTime>
  <Pages>2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Freising</Company>
  <LinksUpToDate>false</LinksUpToDate>
  <CharactersWithSpaces>3485</CharactersWithSpaces>
  <SharedDoc>false</SharedDoc>
  <HLinks>
    <vt:vector size="12" baseType="variant">
      <vt:variant>
        <vt:i4>196631</vt:i4>
      </vt:variant>
      <vt:variant>
        <vt:i4>10</vt:i4>
      </vt:variant>
      <vt:variant>
        <vt:i4>0</vt:i4>
      </vt:variant>
      <vt:variant>
        <vt:i4>5</vt:i4>
      </vt:variant>
      <vt:variant>
        <vt:lpwstr>http://www.kreis-freising.de/</vt:lpwstr>
      </vt:variant>
      <vt:variant>
        <vt:lpwstr/>
      </vt:variant>
      <vt:variant>
        <vt:i4>7995417</vt:i4>
      </vt:variant>
      <vt:variant>
        <vt:i4>7</vt:i4>
      </vt:variant>
      <vt:variant>
        <vt:i4>0</vt:i4>
      </vt:variant>
      <vt:variant>
        <vt:i4>5</vt:i4>
      </vt:variant>
      <vt:variant>
        <vt:lpwstr>mailto:poststelle@kreis-fs.de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>Briefvorlage</dc:subject>
  <dc:creator>Öschay Stefanie</dc:creator>
  <cp:keywords/>
  <cp:lastModifiedBy>Öschay Stefanie</cp:lastModifiedBy>
  <cp:revision>2</cp:revision>
  <cp:lastPrinted>2011-07-14T08:22:00Z</cp:lastPrinted>
  <dcterms:created xsi:type="dcterms:W3CDTF">2022-03-11T08:29:00Z</dcterms:created>
  <dcterms:modified xsi:type="dcterms:W3CDTF">2022-03-11T16:40:00Z</dcterms:modified>
</cp:coreProperties>
</file>